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9072"/>
      </w:tblGrid>
      <w:tr w:rsidR="00403AAB" w:rsidRPr="00403AAB" w:rsidTr="00403AAB">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403AAB" w:rsidRPr="00403AAB">
              <w:trPr>
                <w:trHeight w:val="317"/>
                <w:jc w:val="center"/>
              </w:trPr>
              <w:tc>
                <w:tcPr>
                  <w:tcW w:w="2931" w:type="dxa"/>
                  <w:tcBorders>
                    <w:top w:val="nil"/>
                    <w:left w:val="nil"/>
                    <w:bottom w:val="single" w:sz="4" w:space="0" w:color="660066"/>
                    <w:right w:val="nil"/>
                  </w:tcBorders>
                  <w:vAlign w:val="center"/>
                  <w:hideMark/>
                </w:tcPr>
                <w:p w:rsidR="00403AAB" w:rsidRPr="00403AAB" w:rsidRDefault="00403AAB" w:rsidP="00403AAB">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403AAB">
                    <w:rPr>
                      <w:rFonts w:ascii="Arial" w:eastAsia="Times New Roman" w:hAnsi="Arial" w:cs="Arial"/>
                      <w:sz w:val="16"/>
                      <w:szCs w:val="16"/>
                      <w:lang w:eastAsia="tr-TR"/>
                    </w:rPr>
                    <w:t xml:space="preserve">27 Kasım </w:t>
                  </w:r>
                  <w:proofErr w:type="gramStart"/>
                  <w:r w:rsidRPr="00403AAB">
                    <w:rPr>
                      <w:rFonts w:ascii="Arial" w:eastAsia="Times New Roman" w:hAnsi="Arial" w:cs="Arial"/>
                      <w:sz w:val="16"/>
                      <w:szCs w:val="16"/>
                      <w:lang w:eastAsia="tr-TR"/>
                    </w:rPr>
                    <w:t>2014  PERŞEMBE</w:t>
                  </w:r>
                  <w:proofErr w:type="gramEnd"/>
                </w:p>
              </w:tc>
              <w:tc>
                <w:tcPr>
                  <w:tcW w:w="2931" w:type="dxa"/>
                  <w:tcBorders>
                    <w:top w:val="nil"/>
                    <w:left w:val="nil"/>
                    <w:bottom w:val="single" w:sz="4" w:space="0" w:color="660066"/>
                    <w:right w:val="nil"/>
                  </w:tcBorders>
                  <w:vAlign w:val="center"/>
                  <w:hideMark/>
                </w:tcPr>
                <w:p w:rsidR="00403AAB" w:rsidRPr="00403AAB" w:rsidRDefault="00403AAB" w:rsidP="00403AAB">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403AAB">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403AAB" w:rsidRPr="00403AAB" w:rsidRDefault="00403AAB" w:rsidP="00403AAB">
                  <w:pPr>
                    <w:spacing w:before="100" w:beforeAutospacing="1" w:after="100" w:afterAutospacing="1" w:line="240" w:lineRule="auto"/>
                    <w:jc w:val="right"/>
                    <w:rPr>
                      <w:rFonts w:ascii="Arial" w:eastAsia="Times New Roman" w:hAnsi="Arial" w:cs="Arial"/>
                      <w:sz w:val="16"/>
                      <w:szCs w:val="16"/>
                      <w:lang w:eastAsia="tr-TR"/>
                    </w:rPr>
                  </w:pPr>
                  <w:proofErr w:type="gramStart"/>
                  <w:r w:rsidRPr="00403AAB">
                    <w:rPr>
                      <w:rFonts w:ascii="Arial" w:eastAsia="Times New Roman" w:hAnsi="Arial" w:cs="Arial"/>
                      <w:sz w:val="16"/>
                      <w:szCs w:val="16"/>
                      <w:lang w:eastAsia="tr-TR"/>
                    </w:rPr>
                    <w:t>Sayı : 29188</w:t>
                  </w:r>
                  <w:proofErr w:type="gramEnd"/>
                </w:p>
              </w:tc>
            </w:tr>
            <w:tr w:rsidR="00403AAB" w:rsidRPr="00403AAB">
              <w:trPr>
                <w:trHeight w:val="480"/>
                <w:jc w:val="center"/>
              </w:trPr>
              <w:tc>
                <w:tcPr>
                  <w:tcW w:w="8789" w:type="dxa"/>
                  <w:gridSpan w:val="3"/>
                  <w:vAlign w:val="center"/>
                  <w:hideMark/>
                </w:tcPr>
                <w:p w:rsidR="00403AAB" w:rsidRPr="00403AAB" w:rsidRDefault="00403AAB" w:rsidP="00403AAB">
                  <w:pPr>
                    <w:spacing w:before="100" w:beforeAutospacing="1" w:after="100" w:afterAutospacing="1" w:line="240" w:lineRule="auto"/>
                    <w:jc w:val="center"/>
                    <w:rPr>
                      <w:rFonts w:ascii="Arial" w:eastAsia="Times New Roman" w:hAnsi="Arial" w:cs="Arial"/>
                      <w:b/>
                      <w:color w:val="000080"/>
                      <w:sz w:val="18"/>
                      <w:szCs w:val="18"/>
                      <w:lang w:eastAsia="tr-TR"/>
                    </w:rPr>
                  </w:pPr>
                  <w:r w:rsidRPr="00403AAB">
                    <w:rPr>
                      <w:rFonts w:ascii="Arial" w:eastAsia="Times New Roman" w:hAnsi="Arial" w:cs="Arial"/>
                      <w:b/>
                      <w:color w:val="000080"/>
                      <w:sz w:val="18"/>
                      <w:szCs w:val="18"/>
                      <w:lang w:eastAsia="tr-TR"/>
                    </w:rPr>
                    <w:t>YÖNETMELİK</w:t>
                  </w:r>
                </w:p>
              </w:tc>
            </w:tr>
            <w:tr w:rsidR="00403AAB" w:rsidRPr="00403AAB">
              <w:trPr>
                <w:trHeight w:val="480"/>
                <w:jc w:val="center"/>
              </w:trPr>
              <w:tc>
                <w:tcPr>
                  <w:tcW w:w="8789" w:type="dxa"/>
                  <w:gridSpan w:val="3"/>
                  <w:vAlign w:val="center"/>
                </w:tcPr>
                <w:p w:rsidR="00403AAB" w:rsidRPr="00403AAB" w:rsidRDefault="00403AAB" w:rsidP="00403AAB">
                  <w:pPr>
                    <w:tabs>
                      <w:tab w:val="left" w:pos="566"/>
                    </w:tabs>
                    <w:spacing w:after="0" w:line="240" w:lineRule="exact"/>
                    <w:ind w:firstLine="566"/>
                    <w:rPr>
                      <w:rFonts w:ascii="Times New Roman" w:eastAsia="ヒラギノ明朝 Pro W3" w:hAnsi="Times New Roman" w:cs="Times New Roman"/>
                      <w:sz w:val="18"/>
                      <w:szCs w:val="18"/>
                      <w:u w:val="single"/>
                    </w:rPr>
                  </w:pPr>
                  <w:r w:rsidRPr="00403AAB">
                    <w:rPr>
                      <w:rFonts w:ascii="Times New Roman" w:eastAsia="ヒラギノ明朝 Pro W3" w:hAnsi="Times New Roman" w:cs="Times New Roman"/>
                      <w:sz w:val="18"/>
                      <w:szCs w:val="18"/>
                      <w:u w:val="single"/>
                    </w:rPr>
                    <w:t>Gümrük ve Ticaret Bakanlığından:</w:t>
                  </w:r>
                </w:p>
                <w:p w:rsidR="00403AAB" w:rsidRPr="00403AAB" w:rsidRDefault="00403AAB" w:rsidP="00403AAB">
                  <w:pPr>
                    <w:spacing w:after="0" w:line="240" w:lineRule="exact"/>
                    <w:jc w:val="center"/>
                    <w:rPr>
                      <w:rFonts w:ascii="Times New Roman" w:eastAsia="ヒラギノ明朝 Pro W3" w:hAnsi="Times New Roman" w:cs="Times New Roman"/>
                      <w:b/>
                      <w:sz w:val="18"/>
                      <w:szCs w:val="18"/>
                    </w:rPr>
                  </w:pPr>
                  <w:r w:rsidRPr="00403AAB">
                    <w:rPr>
                      <w:rFonts w:ascii="Times New Roman" w:eastAsia="ヒラギノ明朝 Pro W3" w:hAnsi="Times New Roman" w:cs="Times New Roman"/>
                      <w:b/>
                      <w:sz w:val="18"/>
                      <w:szCs w:val="18"/>
                    </w:rPr>
                    <w:t>ÖN ÖDEMELİ KONUT SATIŞLARI HAKKINDA YÖNETMELİK</w:t>
                  </w:r>
                </w:p>
                <w:p w:rsidR="00403AAB" w:rsidRPr="00403AAB" w:rsidRDefault="00403AAB" w:rsidP="00403AAB">
                  <w:pPr>
                    <w:spacing w:after="0" w:line="240" w:lineRule="exact"/>
                    <w:jc w:val="center"/>
                    <w:rPr>
                      <w:rFonts w:ascii="Times New Roman" w:eastAsia="ヒラギノ明朝 Pro W3" w:hAnsi="Times New Roman" w:cs="Times New Roman"/>
                      <w:b/>
                      <w:sz w:val="18"/>
                      <w:szCs w:val="18"/>
                    </w:rPr>
                  </w:pPr>
                  <w:r w:rsidRPr="00403AAB">
                    <w:rPr>
                      <w:rFonts w:ascii="Times New Roman" w:eastAsia="ヒラギノ明朝 Pro W3" w:hAnsi="Times New Roman" w:cs="Times New Roman"/>
                      <w:b/>
                      <w:sz w:val="18"/>
                      <w:szCs w:val="18"/>
                    </w:rPr>
                    <w:t>BİRİNCİ BÖLÜM</w:t>
                  </w:r>
                </w:p>
                <w:p w:rsidR="00403AAB" w:rsidRPr="00403AAB" w:rsidRDefault="00403AAB" w:rsidP="00403AAB">
                  <w:pPr>
                    <w:spacing w:after="0" w:line="240" w:lineRule="exact"/>
                    <w:jc w:val="center"/>
                    <w:rPr>
                      <w:rFonts w:ascii="Times New Roman" w:eastAsia="ヒラギノ明朝 Pro W3" w:hAnsi="Times New Roman" w:cs="Times New Roman"/>
                      <w:b/>
                      <w:sz w:val="18"/>
                      <w:szCs w:val="18"/>
                    </w:rPr>
                  </w:pPr>
                  <w:r w:rsidRPr="00403AAB">
                    <w:rPr>
                      <w:rFonts w:ascii="Times New Roman" w:eastAsia="ヒラギノ明朝 Pro W3" w:hAnsi="Times New Roman" w:cs="Times New Roman"/>
                      <w:b/>
                      <w:sz w:val="18"/>
                      <w:szCs w:val="18"/>
                    </w:rPr>
                    <w:t>Amaç, Kapsam, Dayanak ve Tanımlar</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b/>
                      <w:sz w:val="18"/>
                      <w:szCs w:val="18"/>
                    </w:rPr>
                  </w:pPr>
                  <w:r w:rsidRPr="00403AAB">
                    <w:rPr>
                      <w:rFonts w:ascii="Times New Roman" w:eastAsia="ヒラギノ明朝 Pro W3" w:hAnsi="Times New Roman" w:cs="Times New Roman"/>
                      <w:b/>
                      <w:sz w:val="18"/>
                      <w:szCs w:val="18"/>
                    </w:rPr>
                    <w:t>Amaç</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b/>
                      <w:sz w:val="18"/>
                      <w:szCs w:val="18"/>
                    </w:rPr>
                    <w:t>MADDE 1 –</w:t>
                  </w:r>
                  <w:r w:rsidRPr="00403AAB">
                    <w:rPr>
                      <w:rFonts w:ascii="Times New Roman" w:eastAsia="ヒラギノ明朝 Pro W3" w:hAnsi="Times New Roman" w:cs="Times New Roman"/>
                      <w:sz w:val="18"/>
                      <w:szCs w:val="18"/>
                    </w:rPr>
                    <w:t xml:space="preserve"> (1) Bu Yönetmeliğin amacı, ön ödemeli konut satışlarına ilişkin uygulama usul ve esaslarını düzenlemektir.</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b/>
                      <w:sz w:val="18"/>
                      <w:szCs w:val="18"/>
                    </w:rPr>
                  </w:pPr>
                  <w:r w:rsidRPr="00403AAB">
                    <w:rPr>
                      <w:rFonts w:ascii="Times New Roman" w:eastAsia="ヒラギノ明朝 Pro W3" w:hAnsi="Times New Roman" w:cs="Times New Roman"/>
                      <w:b/>
                      <w:sz w:val="18"/>
                      <w:szCs w:val="18"/>
                    </w:rPr>
                    <w:t>Kapsam</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b/>
                      <w:sz w:val="18"/>
                      <w:szCs w:val="18"/>
                    </w:rPr>
                    <w:t>MADDE 2 –</w:t>
                  </w:r>
                  <w:r w:rsidRPr="00403AAB">
                    <w:rPr>
                      <w:rFonts w:ascii="Times New Roman" w:eastAsia="ヒラギノ明朝 Pro W3" w:hAnsi="Times New Roman" w:cs="Times New Roman"/>
                      <w:sz w:val="18"/>
                      <w:szCs w:val="18"/>
                    </w:rPr>
                    <w:t xml:space="preserve"> (1) Bu Yönetmelik, ön ödemeli konut satışlarını kapsar.</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b/>
                      <w:sz w:val="18"/>
                      <w:szCs w:val="18"/>
                    </w:rPr>
                  </w:pPr>
                  <w:r w:rsidRPr="00403AAB">
                    <w:rPr>
                      <w:rFonts w:ascii="Times New Roman" w:eastAsia="ヒラギノ明朝 Pro W3" w:hAnsi="Times New Roman" w:cs="Times New Roman"/>
                      <w:b/>
                      <w:sz w:val="18"/>
                      <w:szCs w:val="18"/>
                    </w:rPr>
                    <w:t>Dayanak</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b/>
                      <w:sz w:val="18"/>
                      <w:szCs w:val="18"/>
                    </w:rPr>
                    <w:t>MADDE 3 –</w:t>
                  </w:r>
                  <w:r w:rsidRPr="00403AAB">
                    <w:rPr>
                      <w:rFonts w:ascii="Times New Roman" w:eastAsia="ヒラギノ明朝 Pro W3" w:hAnsi="Times New Roman" w:cs="Times New Roman"/>
                      <w:sz w:val="18"/>
                      <w:szCs w:val="18"/>
                    </w:rPr>
                    <w:t xml:space="preserve"> (1) Bu Yönetmelik, </w:t>
                  </w:r>
                  <w:proofErr w:type="gramStart"/>
                  <w:r w:rsidRPr="00403AAB">
                    <w:rPr>
                      <w:rFonts w:ascii="Times New Roman" w:eastAsia="ヒラギノ明朝 Pro W3" w:hAnsi="Times New Roman" w:cs="Times New Roman"/>
                      <w:sz w:val="18"/>
                      <w:szCs w:val="18"/>
                    </w:rPr>
                    <w:t>7/11/2013</w:t>
                  </w:r>
                  <w:proofErr w:type="gramEnd"/>
                  <w:r w:rsidRPr="00403AAB">
                    <w:rPr>
                      <w:rFonts w:ascii="Times New Roman" w:eastAsia="ヒラギノ明朝 Pro W3" w:hAnsi="Times New Roman" w:cs="Times New Roman"/>
                      <w:sz w:val="18"/>
                      <w:szCs w:val="18"/>
                    </w:rPr>
                    <w:t xml:space="preserve"> tarihli ve 6502 sayılı Tüketicinin Korunması Hakkında Kanunun 46 </w:t>
                  </w:r>
                  <w:proofErr w:type="spellStart"/>
                  <w:r w:rsidRPr="00403AAB">
                    <w:rPr>
                      <w:rFonts w:ascii="Times New Roman" w:eastAsia="ヒラギノ明朝 Pro W3" w:hAnsi="Times New Roman" w:cs="Times New Roman"/>
                      <w:sz w:val="18"/>
                      <w:szCs w:val="18"/>
                    </w:rPr>
                    <w:t>ncı</w:t>
                  </w:r>
                  <w:proofErr w:type="spellEnd"/>
                  <w:r w:rsidRPr="00403AAB">
                    <w:rPr>
                      <w:rFonts w:ascii="Times New Roman" w:eastAsia="ヒラギノ明朝 Pro W3" w:hAnsi="Times New Roman" w:cs="Times New Roman"/>
                      <w:sz w:val="18"/>
                      <w:szCs w:val="18"/>
                    </w:rPr>
                    <w:t xml:space="preserve"> ve 84 üncü maddelerine dayanılarak hazırlanmıştır.</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b/>
                      <w:sz w:val="18"/>
                      <w:szCs w:val="18"/>
                    </w:rPr>
                  </w:pPr>
                  <w:r w:rsidRPr="00403AAB">
                    <w:rPr>
                      <w:rFonts w:ascii="Times New Roman" w:eastAsia="ヒラギノ明朝 Pro W3" w:hAnsi="Times New Roman" w:cs="Times New Roman"/>
                      <w:b/>
                      <w:sz w:val="18"/>
                      <w:szCs w:val="18"/>
                    </w:rPr>
                    <w:t>Tanımlar</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b/>
                      <w:sz w:val="18"/>
                      <w:szCs w:val="18"/>
                    </w:rPr>
                    <w:t>MADDE 4 –</w:t>
                  </w:r>
                  <w:r w:rsidRPr="00403AAB">
                    <w:rPr>
                      <w:rFonts w:ascii="Times New Roman" w:eastAsia="ヒラギノ明朝 Pro W3" w:hAnsi="Times New Roman" w:cs="Times New Roman"/>
                      <w:sz w:val="18"/>
                      <w:szCs w:val="18"/>
                    </w:rPr>
                    <w:t xml:space="preserve"> (1) Bu Yönetmeliğin uygulanmasında;</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a) Bağlı kredi sözleşmesi: Konut finansmanı kredisinin münhasıran belirli bir konutun satın alınması durumunda bir sözleşmenin finansmanı için verildiği ve bu iki sözleşmenin objektif açıdan ekonomik bir birlik oluşturduğu sözleşmeyi,</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b) Bakanlık: Gümrük ve Ticaret Bakanlığını,</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c) Genel Müdürlük: Tüketicinin Korunması ve Piyasa Gözetimi Genel Müdürlüğünü,</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403AAB">
                    <w:rPr>
                      <w:rFonts w:ascii="Times New Roman" w:eastAsia="ヒラギノ明朝 Pro W3" w:hAnsi="Times New Roman" w:cs="Times New Roman"/>
                      <w:sz w:val="18"/>
                      <w:szCs w:val="18"/>
                    </w:rPr>
                    <w:t>ç) Kalıcı veri saklayıcısı: Tüketicinin gönderdiği veya kendisine gönderilen bilgiyi, bu bilginin amacına uygun olarak makul bir süre incelemesine elverecek şekilde kaydedilmesini ve değiştirilmeden kopyalanmasını sağlayan ve bu bilgiye aynen ulaşılmasına imkân veren kısa mesaj, elektronik posta, internet, disk, CD, DVD, hafıza kartı ve benzeri her türlü araç veya ortamı,</w:t>
                  </w:r>
                  <w:proofErr w:type="gramEnd"/>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d) Kanun: 6502 sayılı Tüketicinin Korunması Hakkında Kanunu,</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 xml:space="preserve">e) Konut: </w:t>
                  </w:r>
                  <w:proofErr w:type="gramStart"/>
                  <w:r w:rsidRPr="00403AAB">
                    <w:rPr>
                      <w:rFonts w:ascii="Times New Roman" w:eastAsia="ヒラギノ明朝 Pro W3" w:hAnsi="Times New Roman" w:cs="Times New Roman"/>
                      <w:sz w:val="18"/>
                      <w:szCs w:val="18"/>
                    </w:rPr>
                    <w:t>23/6/1965</w:t>
                  </w:r>
                  <w:proofErr w:type="gramEnd"/>
                  <w:r w:rsidRPr="00403AAB">
                    <w:rPr>
                      <w:rFonts w:ascii="Times New Roman" w:eastAsia="ヒラギノ明朝 Pro W3" w:hAnsi="Times New Roman" w:cs="Times New Roman"/>
                      <w:sz w:val="18"/>
                      <w:szCs w:val="18"/>
                    </w:rPr>
                    <w:t xml:space="preserve"> tarihli ve 634 sayılı Kat Mülkiyeti Kanununa tabi mesken amaçlı kullanılan ya da mesken niteliği taşımamakla birlikte tüketicilerin kullanımına sunulan her türlü bağımsız bölümü,</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f) Konut finansmanı kuruluşu: Konut finansmanı kapsamında doğrudan tüketiciye kredi kullandıran ya da finansal kiralama yapan bankalar ile Bankacılık Düzenleme ve Denetleme Kurulu tarafından konut finansmanı faaliyetinde bulunması uygun görülen finansal kiralama şirketleri ve finansman şirketlerini,</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g) Ön ödeme tutarı: Konutun tesliminden önce tüketici tarafından ödenen toplam tutarı,</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ğ) Ön ödemeli konut satış sözleşmesi: Tüketicinin konut amaçlı bir taşınmazın satış bedelini önceden peşin veya taksitle ödemeyi, satıcının da bedelin tamamen veya kısmen ödenmesinden sonra taşınmazı tüketiciye devir veya teslim etmeyi üstlendiği sözleşmeyi,</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h) Satıcı: Kamu tüzel kişileri de dâhil olmak üzere ticari veya mesleki amaçlarla tüketiciye mal sunan ya da mal sunanın adına ya da hesabına hareket eden gerçek veya tüzel kişiyi,</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ı) Tüketici: Ticari veya mesleki olmayan amaçlarla hareket eden gerçek veya tüzel kişiyi</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403AAB">
                    <w:rPr>
                      <w:rFonts w:ascii="Times New Roman" w:eastAsia="ヒラギノ明朝 Pro W3" w:hAnsi="Times New Roman" w:cs="Times New Roman"/>
                      <w:sz w:val="18"/>
                      <w:szCs w:val="18"/>
                    </w:rPr>
                    <w:t>ifade</w:t>
                  </w:r>
                  <w:proofErr w:type="gramEnd"/>
                  <w:r w:rsidRPr="00403AAB">
                    <w:rPr>
                      <w:rFonts w:ascii="Times New Roman" w:eastAsia="ヒラギノ明朝 Pro W3" w:hAnsi="Times New Roman" w:cs="Times New Roman"/>
                      <w:sz w:val="18"/>
                      <w:szCs w:val="18"/>
                    </w:rPr>
                    <w:t xml:space="preserve"> eder.</w:t>
                  </w:r>
                </w:p>
                <w:p w:rsidR="00403AAB" w:rsidRPr="00403AAB" w:rsidRDefault="00403AAB" w:rsidP="00403AAB">
                  <w:pPr>
                    <w:spacing w:after="0" w:line="240" w:lineRule="exact"/>
                    <w:jc w:val="center"/>
                    <w:rPr>
                      <w:rFonts w:ascii="Times New Roman" w:eastAsia="ヒラギノ明朝 Pro W3" w:hAnsi="Times New Roman" w:cs="Times New Roman"/>
                      <w:b/>
                      <w:sz w:val="18"/>
                      <w:szCs w:val="18"/>
                    </w:rPr>
                  </w:pPr>
                  <w:r w:rsidRPr="00403AAB">
                    <w:rPr>
                      <w:rFonts w:ascii="Times New Roman" w:eastAsia="ヒラギノ明朝 Pro W3" w:hAnsi="Times New Roman" w:cs="Times New Roman"/>
                      <w:b/>
                      <w:sz w:val="18"/>
                      <w:szCs w:val="18"/>
                    </w:rPr>
                    <w:t>İKİNCİ BÖLÜM</w:t>
                  </w:r>
                </w:p>
                <w:p w:rsidR="00403AAB" w:rsidRPr="00403AAB" w:rsidRDefault="00403AAB" w:rsidP="00403AAB">
                  <w:pPr>
                    <w:spacing w:after="0" w:line="240" w:lineRule="exact"/>
                    <w:jc w:val="center"/>
                    <w:rPr>
                      <w:rFonts w:ascii="Times New Roman" w:eastAsia="ヒラギノ明朝 Pro W3" w:hAnsi="Times New Roman" w:cs="Times New Roman"/>
                      <w:b/>
                      <w:sz w:val="18"/>
                      <w:szCs w:val="18"/>
                    </w:rPr>
                  </w:pPr>
                  <w:r w:rsidRPr="00403AAB">
                    <w:rPr>
                      <w:rFonts w:ascii="Times New Roman" w:eastAsia="ヒラギノ明朝 Pro W3" w:hAnsi="Times New Roman" w:cs="Times New Roman"/>
                      <w:b/>
                      <w:sz w:val="18"/>
                      <w:szCs w:val="18"/>
                    </w:rPr>
                    <w:t>Ön Bilgilendirme ve Sözleşme Yükümlülüğü</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b/>
                      <w:sz w:val="18"/>
                      <w:szCs w:val="18"/>
                    </w:rPr>
                  </w:pPr>
                  <w:r w:rsidRPr="00403AAB">
                    <w:rPr>
                      <w:rFonts w:ascii="Times New Roman" w:eastAsia="ヒラギノ明朝 Pro W3" w:hAnsi="Times New Roman" w:cs="Times New Roman"/>
                      <w:b/>
                      <w:sz w:val="18"/>
                      <w:szCs w:val="18"/>
                    </w:rPr>
                    <w:t>Ön bilgilendirme</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b/>
                      <w:sz w:val="18"/>
                      <w:szCs w:val="18"/>
                    </w:rPr>
                    <w:t>MADDE 5 –</w:t>
                  </w:r>
                  <w:r w:rsidRPr="00403AAB">
                    <w:rPr>
                      <w:rFonts w:ascii="Times New Roman" w:eastAsia="ヒラギノ明朝 Pro W3" w:hAnsi="Times New Roman" w:cs="Times New Roman"/>
                      <w:sz w:val="18"/>
                      <w:szCs w:val="18"/>
                    </w:rPr>
                    <w:t xml:space="preserve"> (1) Ön ödemeli konut satış sözleşmesi kurulmadan en az bir gün önce aşağıdaki hususları içeren, en az on iki punto büyüklüğünde, anlaşılabilir bir dilde, açık, sade ve okunabilir şekilde düzenlenen ön bilgilendirme formunun tüketiciye verilmesi zorunludur:</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a) Satıcının adı veya unvanı, açık adresi, telefon numarası ve varsa MERSİS numarası ile diğer iletişim bilgileri,</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 xml:space="preserve">b) Sözleşme konusu konuta ilişkin bağımsız bölümün yer aldığı ada, parsel, blok, konum, kat ve benzeri temel nitelik bilgileri ile </w:t>
                  </w:r>
                  <w:proofErr w:type="gramStart"/>
                  <w:r w:rsidRPr="00403AAB">
                    <w:rPr>
                      <w:rFonts w:ascii="Times New Roman" w:eastAsia="ヒラギノ明朝 Pro W3" w:hAnsi="Times New Roman" w:cs="Times New Roman"/>
                      <w:sz w:val="18"/>
                      <w:szCs w:val="18"/>
                    </w:rPr>
                    <w:t>2/11/1985</w:t>
                  </w:r>
                  <w:proofErr w:type="gramEnd"/>
                  <w:r w:rsidRPr="00403AAB">
                    <w:rPr>
                      <w:rFonts w:ascii="Times New Roman" w:eastAsia="ヒラギノ明朝 Pro W3" w:hAnsi="Times New Roman" w:cs="Times New Roman"/>
                      <w:sz w:val="18"/>
                      <w:szCs w:val="18"/>
                    </w:rPr>
                    <w:t xml:space="preserve"> tarihli ve 18916 Mükerrer sayılı Resmî </w:t>
                  </w:r>
                  <w:proofErr w:type="spellStart"/>
                  <w:r w:rsidRPr="00403AAB">
                    <w:rPr>
                      <w:rFonts w:ascii="Times New Roman" w:eastAsia="ヒラギノ明朝 Pro W3" w:hAnsi="Times New Roman" w:cs="Times New Roman"/>
                      <w:sz w:val="18"/>
                      <w:szCs w:val="18"/>
                    </w:rPr>
                    <w:t>Gazete’de</w:t>
                  </w:r>
                  <w:proofErr w:type="spellEnd"/>
                  <w:r w:rsidRPr="00403AAB">
                    <w:rPr>
                      <w:rFonts w:ascii="Times New Roman" w:eastAsia="ヒラギノ明朝 Pro W3" w:hAnsi="Times New Roman" w:cs="Times New Roman"/>
                      <w:sz w:val="18"/>
                      <w:szCs w:val="18"/>
                    </w:rPr>
                    <w:t xml:space="preserve"> yayımlanan Planlı Alanlar Tip İmar Yönetmeliğine göre belirlenen bağımsız bölüm net ve brüt alanları,</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c) Konutun tüm vergiler dâhil Türk Lirası olarak peşin ve taksitli toplam satış fiyatı; varsa teslim ve diğer masraflara ilişkin bilgi,</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ç) Varsa faiz miktarı ve faizin hesaplandığı yıllık oran,</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d) Tüketicinin cayma ve sözleşmeden dönme hakkına ilişkin bilgiler,</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e) Konutun teslim tarihi,</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f) Verilecek teminata ilişkin bilgiler,</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g) Yapı ruhsatının alınış tarihi,</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lastRenderedPageBreak/>
                    <w:t>ğ) Yönetim planına uygun olarak genel giderlere katılıma ilişkin bilgiler.</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(2) Yukarıda yer alan bilgileri içeren ön bilgilendirme formuna ek olarak tüketiciye, bağımsız bölüm planı, vaziyet planı, kat planı ve mahal listesi verilir.</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(3) Birinci ve ikinci fıkradaki bilgilerin yazılı olarak veya kalıcı veri saklayıcısı ile tüketiciye verilmesi zorunludur.</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(4) Bu madde kapsamında ön bilgilendirme yapıldığına ilişkin ispat yükü satıcıya aittir.</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b/>
                      <w:sz w:val="18"/>
                      <w:szCs w:val="18"/>
                    </w:rPr>
                  </w:pPr>
                  <w:r w:rsidRPr="00403AAB">
                    <w:rPr>
                      <w:rFonts w:ascii="Times New Roman" w:eastAsia="ヒラギノ明朝 Pro W3" w:hAnsi="Times New Roman" w:cs="Times New Roman"/>
                      <w:b/>
                      <w:sz w:val="18"/>
                      <w:szCs w:val="18"/>
                    </w:rPr>
                    <w:t>Şekil şartı</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b/>
                      <w:sz w:val="18"/>
                      <w:szCs w:val="18"/>
                    </w:rPr>
                    <w:t>MADDE 6 –</w:t>
                  </w:r>
                  <w:r w:rsidRPr="00403AAB">
                    <w:rPr>
                      <w:rFonts w:ascii="Times New Roman" w:eastAsia="ヒラギノ明朝 Pro W3" w:hAnsi="Times New Roman" w:cs="Times New Roman"/>
                      <w:sz w:val="18"/>
                      <w:szCs w:val="18"/>
                    </w:rPr>
                    <w:t xml:space="preserve"> (1) Ön ödemeli konut satış sözleşmesi, kat irtifakı devrinin tüketici lehine tapu siciline tescil edilmesiyle birlikte yapılacak yazılı bir sözleşme şeklinde veya noterliklerde düzenleme şeklinde yapılan satış vaadi sözleşmesi ile kurulur. Aksi hâlde sözleşme geçersizdir. Satıcı, sonradan sözleşmenin geçersizliğini tüketicinin aleyhine olacak şekilde ileri süremez.</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(2) Satıcı, geçerli bir sözleşme yapılmış olmadıkça tüketiciden herhangi bir isim altında ödeme yapmasını veya tüketiciyi borç altına sokan herhangi bir belge vermesini isteyemez.</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(3) Yapı ruhsatı alınmadan, tüketicilerle ön ödemeli konut satış sözleşmesi yapılamaz.</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b/>
                      <w:sz w:val="18"/>
                      <w:szCs w:val="18"/>
                    </w:rPr>
                  </w:pPr>
                  <w:r w:rsidRPr="00403AAB">
                    <w:rPr>
                      <w:rFonts w:ascii="Times New Roman" w:eastAsia="ヒラギノ明朝 Pro W3" w:hAnsi="Times New Roman" w:cs="Times New Roman"/>
                      <w:b/>
                      <w:sz w:val="18"/>
                      <w:szCs w:val="18"/>
                    </w:rPr>
                    <w:t>Sözleşmenin zorunlu içeriği</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b/>
                      <w:sz w:val="18"/>
                      <w:szCs w:val="18"/>
                    </w:rPr>
                    <w:t>MADDE 7 –</w:t>
                  </w:r>
                  <w:r w:rsidRPr="00403AAB">
                    <w:rPr>
                      <w:rFonts w:ascii="Times New Roman" w:eastAsia="ヒラギノ明朝 Pro W3" w:hAnsi="Times New Roman" w:cs="Times New Roman"/>
                      <w:sz w:val="18"/>
                      <w:szCs w:val="18"/>
                    </w:rPr>
                    <w:t xml:space="preserve"> (1) Ön ödemeli konut satış sözleşmesinin, en az on iki punto büyüklüğünde, anlaşılabilir bir dilde, açık, sade ve okunabilir bir şekilde yapılması, aşağıdaki bilgileri içermesi ve bir örneğinin tüketiciye verilmesi zorunludur:</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a) Satıcının adı veya unvanı, açık adresi, telefon numarası ve varsa MERSİS numarası ile diğer iletişim bilgileri,</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b) Tüketicinin adı, soyadı, açık adresi, telefon numarası ve varsa diğer iletişim bilgileri,</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c) Sözleşmenin düzenlendiği tarih,</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ç) Sözleşme konusu konuta ilişkin bağımsız bölümün yer aldığı ada, parsel, blok, konum, kat ve benzeri temel nitelik bilgileri ile Planlı Alanlar Tip İmar Yönetmeliğine göre belirlenen bağımsız bölüm net ve brüt alanları,</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d)  Konutun tüm vergiler dâhil Türk Lirası olarak satış fiyatı, varsa teslim ve diğer masraflara ilişkin bilgi,</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e)  Konutun tüm vergiler dâhil Türk Lirası olarak toplam taksitli satış fiyatı; varsa teslim ve diğer masraflara ilişkin bilgi,</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f)  Faiz miktarı ve faizin hesaplandığı yıllık oran ve sözleşmede belirlenen faiz oranının yüzde otuz fazlasını geçmemek üzere gecikme faiz oranı,</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g) Tüketicinin temerrüde düşmesinin hukuki sonuçları,</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ğ) Ön ödeme tutarı,</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h) Ödeme planı ve ödemelerin yapılacağı banka ve hesap bilgileri,</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ı) Cayma hakkının kullanılma şartları, süresi ve usulüne ilişkin bilgiler,</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i) Sözleşmeden dönme hakkının kullanılma şartları, süresi, usulü ile tazminata ilişkin bilgiler,</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j) Cayma ve sözleşmeden dönme bildirimlerinin yapılacağı açık adres bilgileri,</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k) Verilen teminata ilişkin bilgiler,</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l) Konutun teslim tarihi ve şekli,</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m) Yapı ruhsatının alınış tarihi,</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n) Konutun ortak giderlerine ilişkin bilgiler,</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o) Tüketicilerin uyuşmazlık konusundaki başvurularını tüketici mahkemesine veya tüketici hakem heyetine yapabileceklerine dair bilgi.</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(2) Peşin ödemede bulunulan ön ödemeli konut satış sözleşmelerinde birinci fıkranın (e), (f), (g), (ğ) ve (h) bentlerinde yer alan hükümler aranmaz.</w:t>
                  </w:r>
                </w:p>
                <w:p w:rsidR="00403AAB" w:rsidRPr="00403AAB" w:rsidRDefault="00403AAB" w:rsidP="00403AAB">
                  <w:pPr>
                    <w:spacing w:after="0" w:line="240" w:lineRule="exact"/>
                    <w:jc w:val="center"/>
                    <w:rPr>
                      <w:rFonts w:ascii="Times New Roman" w:eastAsia="ヒラギノ明朝 Pro W3" w:hAnsi="Times New Roman" w:cs="Times New Roman"/>
                      <w:b/>
                      <w:sz w:val="18"/>
                      <w:szCs w:val="18"/>
                    </w:rPr>
                  </w:pPr>
                  <w:r w:rsidRPr="00403AAB">
                    <w:rPr>
                      <w:rFonts w:ascii="Times New Roman" w:eastAsia="ヒラギノ明朝 Pro W3" w:hAnsi="Times New Roman" w:cs="Times New Roman"/>
                      <w:b/>
                      <w:sz w:val="18"/>
                      <w:szCs w:val="18"/>
                    </w:rPr>
                    <w:t>ÜÇÜNCÜ BÖLÜM</w:t>
                  </w:r>
                </w:p>
                <w:p w:rsidR="00403AAB" w:rsidRPr="00403AAB" w:rsidRDefault="00403AAB" w:rsidP="00403AAB">
                  <w:pPr>
                    <w:spacing w:after="0" w:line="240" w:lineRule="exact"/>
                    <w:jc w:val="center"/>
                    <w:rPr>
                      <w:rFonts w:ascii="Times New Roman" w:eastAsia="ヒラギノ明朝 Pro W3" w:hAnsi="Times New Roman" w:cs="Times New Roman"/>
                      <w:b/>
                      <w:sz w:val="18"/>
                      <w:szCs w:val="18"/>
                    </w:rPr>
                  </w:pPr>
                  <w:r w:rsidRPr="00403AAB">
                    <w:rPr>
                      <w:rFonts w:ascii="Times New Roman" w:eastAsia="ヒラギノ明朝 Pro W3" w:hAnsi="Times New Roman" w:cs="Times New Roman"/>
                      <w:b/>
                      <w:sz w:val="18"/>
                      <w:szCs w:val="18"/>
                    </w:rPr>
                    <w:t>Cayma ve Sözleşmeden Dönme Hakkının Kullanımı</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b/>
                      <w:sz w:val="18"/>
                      <w:szCs w:val="18"/>
                    </w:rPr>
                  </w:pPr>
                  <w:r w:rsidRPr="00403AAB">
                    <w:rPr>
                      <w:rFonts w:ascii="Times New Roman" w:eastAsia="ヒラギノ明朝 Pro W3" w:hAnsi="Times New Roman" w:cs="Times New Roman"/>
                      <w:b/>
                      <w:sz w:val="18"/>
                      <w:szCs w:val="18"/>
                    </w:rPr>
                    <w:t>Cayma hakkı</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b/>
                      <w:sz w:val="18"/>
                      <w:szCs w:val="18"/>
                    </w:rPr>
                    <w:t xml:space="preserve">MADDE 8 </w:t>
                  </w:r>
                  <w:r w:rsidRPr="00403AAB">
                    <w:rPr>
                      <w:rFonts w:ascii="Times New Roman" w:eastAsia="ヒラギノ明朝 Pro W3" w:hAnsi="Times New Roman" w:cs="Times New Roman"/>
                      <w:sz w:val="18"/>
                      <w:szCs w:val="18"/>
                    </w:rPr>
                    <w:t>– (1) Tüketici, sözleşmenin kurulduğu tarihten itibaren on dört gün içinde, herhangi bir gerekçe göstermeksizin ve cezai şart ödemeksizin sözleşmeden cayma hakkına sahiptir.</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(2) Cayma hakkının kullanıldığına dair bildirimin bu süre içinde satıcıya noterlikler aracılığıyla yöneltilmesi yeterlidir. Konut bedelinin bir kısmının bağlı kredi ile karşılanması durumunda, cayma hakkının kullanıldığı bilgisi satıcı tarafından ilgili konut finansmanı kuruluşuna derhal bildirilir.</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(3) Taşınmazın kısmen veya tamamen bağlı krediyle alınması durumunda bağlı kredi sözleşmesi, sözleşmenin kurulduğu tarihte hüküm doğurmak üzere cayma hakkı süresi sonunda yürürlüğe girer. Konut finansmanı kuruluşu cayma hakkı süresi içinde tüketiciden faiz, komisyon, yasal yükümlülük ve benzeri isimler altında hiçbir masraf talep edemez.</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(4) Taşınmaz için bina tamamlama sigortası yaptırılmış ise, sigorta teminatı, kurulduğu tarihten itibaren hüküm doğurmak üzere cayma hakkı süresi sonunda yürürlüğe girer.</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lastRenderedPageBreak/>
                    <w:t>(5) Cayma hakkının kullanılması durumunda, tüketiciye iade edilmesi gereken tutar ve tüketiciyi borç altına sokan her türlü belge cayma bildiriminin satıcıya ulaştığı tarihten itibaren en geç on dört gün içinde tüketiciye geri verilir.</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(6) Satıcının aldığı bedeli ve tüketiciyi borç altına sokan her türlü belgeyi iade ettiği tarihten itibaren, tüketici on gün içinde edinimlerini iade eder.</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(7) Satıcı, cayma hakkı konusunda tüketicinin bilgilendirildiğini ispat etmekle yükümlüdür.</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b/>
                      <w:sz w:val="18"/>
                      <w:szCs w:val="18"/>
                    </w:rPr>
                  </w:pPr>
                  <w:r w:rsidRPr="00403AAB">
                    <w:rPr>
                      <w:rFonts w:ascii="Times New Roman" w:eastAsia="ヒラギノ明朝 Pro W3" w:hAnsi="Times New Roman" w:cs="Times New Roman"/>
                      <w:b/>
                      <w:sz w:val="18"/>
                      <w:szCs w:val="18"/>
                    </w:rPr>
                    <w:t>Sözleşmeden dönme</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b/>
                      <w:sz w:val="18"/>
                      <w:szCs w:val="18"/>
                    </w:rPr>
                    <w:t>MADDE 9 –</w:t>
                  </w:r>
                  <w:r w:rsidRPr="00403AAB">
                    <w:rPr>
                      <w:rFonts w:ascii="Times New Roman" w:eastAsia="ヒラギノ明朝 Pro W3" w:hAnsi="Times New Roman" w:cs="Times New Roman"/>
                      <w:sz w:val="18"/>
                      <w:szCs w:val="18"/>
                    </w:rPr>
                    <w:t xml:space="preserve"> (1) Ön ödemeli konut satışında, devir veya teslim tarihine kadar tüketicinin herhangi bir gerekçe göstermeden sözleşmeden dönme hakkı vardır.</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(2) Sözleşmeden dönme bildiriminin satıcıya noterlikler aracılığıyla yöneltilmesi yeterlidir. Konut bedelinin bir kısmının bağlı kredi ile karşılanması durumunda, tüketicinin sözleşmeden dönme hakkını kullandığına ilişkin bilgi, satıcı tarafından ilgili konut finansmanı kuruluşuna derhal bildirilir.</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(3) Sözleşmeden dönülmesi durumunda satıcı; ön ödemeli konut satışı nedeniyle oluşan vergi, harç ve benzeri yasal yükümlülüklerden doğan masraflar ile sözleşme bedelinin yüzde ikisine kadar tazminatın ödenmesini isteyebilir.</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(4) Aşağıdaki hallerde tüketiciden herhangi bir bedel talep edilemez:</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a) Satıcının yükümlülüklerini hiç ya da gereği gibi yerine getirmemesi,</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b) Tüketicinin ölmesi,</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c) Tüketicinin kazanç elde etmekten sürekli olarak yoksun kalması sebebiyle ön ödemeleri yapamayacak duruma düşmesi,</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ç) Ön ödemeli konut satışının taksitle yapılması durumunda, mevcut sözleşmenin yerine konut teslim tarihini geçmeyen ve tüketicinin mevcut sözleşmeye göre talep edilen vade farkını ödemeyi de kabul ettiği yeni bir taksitle satış sözleşmesinin kurulmasına ilişkin önerisinin, satıcı tarafından kabul edilmemesi nedeniyle sözleşmeden dönülmesi.</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(5) Bir konutun birden fazla tüketiciye satılması nedeniyle tüketicinin sözleşmeden dönmesi halinde, tüketiciden ön ödemeli konut satışı nedeniyle oluşan vergi, harç, masraf, tazminat ve benzeri adlar altında hiçbir bedel talep edilemez.</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(6) Sözleşmeden dönülmesi durumunda, tüketiciye iade edilmesi gereken tutar ve tüketiciyi borç altına sokan her türlü belge, dönme bildiriminin satıcıya ulaştığı tarihten itibaren en geç doksan gün içinde tüketiciye geri verilir.</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 xml:space="preserve">(7) Konut bedelinin bir kısmının bağlı kredi ile karşılanması durumunda, tüketicinin ödediği satış bedeli, satıcı tarafından dönme bildiriminin kendisine ulaştığı tarihten itibaren en geç doksan gün içinde yalnızca üçüncü fıkrada belirtilen masraf ve tazminat tutarı düşülerek ilgili konut finansmanı kuruluşuna iade edilir. Konut finansmanı kuruluşu söz konusu tutarı, Kanunun 37 </w:t>
                  </w:r>
                  <w:proofErr w:type="spellStart"/>
                  <w:r w:rsidRPr="00403AAB">
                    <w:rPr>
                      <w:rFonts w:ascii="Times New Roman" w:eastAsia="ヒラギノ明朝 Pro W3" w:hAnsi="Times New Roman" w:cs="Times New Roman"/>
                      <w:sz w:val="18"/>
                      <w:szCs w:val="18"/>
                    </w:rPr>
                    <w:t>nci</w:t>
                  </w:r>
                  <w:proofErr w:type="spellEnd"/>
                  <w:r w:rsidRPr="00403AAB">
                    <w:rPr>
                      <w:rFonts w:ascii="Times New Roman" w:eastAsia="ヒラギノ明朝 Pro W3" w:hAnsi="Times New Roman" w:cs="Times New Roman"/>
                      <w:sz w:val="18"/>
                      <w:szCs w:val="18"/>
                    </w:rPr>
                    <w:t xml:space="preserve"> maddesine uygun olarak tüketiciye derhal geri öder.</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(8) Satıcıya veya konut finansmanı kuruluşuna ödenen bedel ile tüketiciyi borç altına sokan her türlü belgenin iade edildiği tarihten itibaren, tüketici on gün içinde edinimlerini iade eder.</w:t>
                  </w:r>
                </w:p>
                <w:p w:rsidR="00403AAB" w:rsidRPr="00403AAB" w:rsidRDefault="00403AAB" w:rsidP="00403AAB">
                  <w:pPr>
                    <w:spacing w:after="0" w:line="240" w:lineRule="exact"/>
                    <w:jc w:val="center"/>
                    <w:rPr>
                      <w:rFonts w:ascii="Times New Roman" w:eastAsia="ヒラギノ明朝 Pro W3" w:hAnsi="Times New Roman" w:cs="Times New Roman"/>
                      <w:b/>
                      <w:sz w:val="18"/>
                      <w:szCs w:val="18"/>
                    </w:rPr>
                  </w:pPr>
                  <w:r w:rsidRPr="00403AAB">
                    <w:rPr>
                      <w:rFonts w:ascii="Times New Roman" w:eastAsia="ヒラギノ明朝 Pro W3" w:hAnsi="Times New Roman" w:cs="Times New Roman"/>
                      <w:b/>
                      <w:sz w:val="18"/>
                      <w:szCs w:val="18"/>
                    </w:rPr>
                    <w:t>DÖRDÜNCÜ BÖLÜM</w:t>
                  </w:r>
                </w:p>
                <w:p w:rsidR="00403AAB" w:rsidRPr="00403AAB" w:rsidRDefault="00403AAB" w:rsidP="00403AAB">
                  <w:pPr>
                    <w:spacing w:after="0" w:line="240" w:lineRule="exact"/>
                    <w:jc w:val="center"/>
                    <w:rPr>
                      <w:rFonts w:ascii="Times New Roman" w:eastAsia="ヒラギノ明朝 Pro W3" w:hAnsi="Times New Roman" w:cs="Times New Roman"/>
                      <w:b/>
                      <w:sz w:val="18"/>
                      <w:szCs w:val="18"/>
                    </w:rPr>
                  </w:pPr>
                  <w:r w:rsidRPr="00403AAB">
                    <w:rPr>
                      <w:rFonts w:ascii="Times New Roman" w:eastAsia="ヒラギノ明朝 Pro W3" w:hAnsi="Times New Roman" w:cs="Times New Roman"/>
                      <w:b/>
                      <w:sz w:val="18"/>
                      <w:szCs w:val="18"/>
                    </w:rPr>
                    <w:t>Satıcının Diğer Yükümlülükleri</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b/>
                      <w:sz w:val="18"/>
                      <w:szCs w:val="18"/>
                    </w:rPr>
                  </w:pPr>
                  <w:r w:rsidRPr="00403AAB">
                    <w:rPr>
                      <w:rFonts w:ascii="Times New Roman" w:eastAsia="ヒラギノ明朝 Pro W3" w:hAnsi="Times New Roman" w:cs="Times New Roman"/>
                      <w:b/>
                      <w:sz w:val="18"/>
                      <w:szCs w:val="18"/>
                    </w:rPr>
                    <w:t>Konutun teslimi</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b/>
                      <w:sz w:val="18"/>
                      <w:szCs w:val="18"/>
                    </w:rPr>
                    <w:t>MADDE 10 –</w:t>
                  </w:r>
                  <w:r w:rsidRPr="00403AAB">
                    <w:rPr>
                      <w:rFonts w:ascii="Times New Roman" w:eastAsia="ヒラギノ明朝 Pro W3" w:hAnsi="Times New Roman" w:cs="Times New Roman"/>
                      <w:sz w:val="18"/>
                      <w:szCs w:val="18"/>
                    </w:rPr>
                    <w:t xml:space="preserve"> (1) Ön ödemeli konut satışında devir veya teslim süresi sözleşme tarihinden itibaren otuz altı ayı geçemez.</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(2) Aşağıdaki hallerde konutun tüketiciye devir veya teslim edildiği kabul edilir:</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a) Kat mülkiyetine konu konutun tüketici adına tescili,</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b) Kat irtifakına konu konutun tüketici adına tapu siciline tescil edilmesiyle birlikte konutun oturmaya elverişli bir şekilde zilyetliğinin devri.</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b/>
                      <w:sz w:val="18"/>
                      <w:szCs w:val="18"/>
                    </w:rPr>
                  </w:pPr>
                  <w:r w:rsidRPr="00403AAB">
                    <w:rPr>
                      <w:rFonts w:ascii="Times New Roman" w:eastAsia="ヒラギノ明朝 Pro W3" w:hAnsi="Times New Roman" w:cs="Times New Roman"/>
                      <w:b/>
                      <w:sz w:val="18"/>
                      <w:szCs w:val="18"/>
                    </w:rPr>
                    <w:t>Proje değişiklikleri</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b/>
                      <w:sz w:val="18"/>
                      <w:szCs w:val="18"/>
                    </w:rPr>
                    <w:t>MADDE 11 –</w:t>
                  </w:r>
                  <w:r w:rsidRPr="00403AAB">
                    <w:rPr>
                      <w:rFonts w:ascii="Times New Roman" w:eastAsia="ヒラギノ明朝 Pro W3" w:hAnsi="Times New Roman" w:cs="Times New Roman"/>
                      <w:sz w:val="18"/>
                      <w:szCs w:val="18"/>
                    </w:rPr>
                    <w:t xml:space="preserve"> (1) Sözleşmeye konu konutun yer aldığı projede sonradan değişiklik yapılması durumunda, bu değişikliğin tüketiciye yazılı olarak veya kalıcı veri saklayıcısı ile bildirilmesi zorunludur. Tüketici yapılan proje değişikliğini kabul etmeyerek bir ay içinde vergi, harç, masraf, tazminat ve benzeri adlar altında hiçbir bedel ödemeksizin sözleşmeden dönebilir. Proje değişikliğinin yasal zorunluluklardan veya mücbir sebep hallerinden kaynaklanması durumunda, satıcı tüketiciden vergi, harç ve benzeri yasal yükümlülüklerden doğan masraflar ile sözleşme bedelinin yüzde ikisine kadar kesinti yapabilir.</w:t>
                  </w:r>
                </w:p>
                <w:p w:rsidR="00403AAB" w:rsidRPr="00403AAB" w:rsidRDefault="00403AAB" w:rsidP="00403AAB">
                  <w:pPr>
                    <w:spacing w:after="0" w:line="240" w:lineRule="exact"/>
                    <w:jc w:val="center"/>
                    <w:rPr>
                      <w:rFonts w:ascii="Times New Roman" w:eastAsia="ヒラギノ明朝 Pro W3" w:hAnsi="Times New Roman" w:cs="Times New Roman"/>
                      <w:b/>
                      <w:sz w:val="18"/>
                      <w:szCs w:val="18"/>
                    </w:rPr>
                  </w:pPr>
                  <w:r w:rsidRPr="00403AAB">
                    <w:rPr>
                      <w:rFonts w:ascii="Times New Roman" w:eastAsia="ヒラギノ明朝 Pro W3" w:hAnsi="Times New Roman" w:cs="Times New Roman"/>
                      <w:b/>
                      <w:sz w:val="18"/>
                      <w:szCs w:val="18"/>
                    </w:rPr>
                    <w:t>BEŞİNCİ BÖLÜM</w:t>
                  </w:r>
                </w:p>
                <w:p w:rsidR="00403AAB" w:rsidRPr="00403AAB" w:rsidRDefault="00403AAB" w:rsidP="00403AAB">
                  <w:pPr>
                    <w:spacing w:after="0" w:line="240" w:lineRule="exact"/>
                    <w:jc w:val="center"/>
                    <w:rPr>
                      <w:rFonts w:ascii="Times New Roman" w:eastAsia="ヒラギノ明朝 Pro W3" w:hAnsi="Times New Roman" w:cs="Times New Roman"/>
                      <w:b/>
                      <w:sz w:val="18"/>
                      <w:szCs w:val="18"/>
                    </w:rPr>
                  </w:pPr>
                  <w:r w:rsidRPr="00403AAB">
                    <w:rPr>
                      <w:rFonts w:ascii="Times New Roman" w:eastAsia="ヒラギノ明朝 Pro W3" w:hAnsi="Times New Roman" w:cs="Times New Roman"/>
                      <w:b/>
                      <w:sz w:val="18"/>
                      <w:szCs w:val="18"/>
                    </w:rPr>
                    <w:t>Teminata İlişkin Esaslar</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b/>
                      <w:sz w:val="18"/>
                      <w:szCs w:val="18"/>
                    </w:rPr>
                  </w:pPr>
                  <w:r w:rsidRPr="00403AAB">
                    <w:rPr>
                      <w:rFonts w:ascii="Times New Roman" w:eastAsia="ヒラギノ明朝 Pro W3" w:hAnsi="Times New Roman" w:cs="Times New Roman"/>
                      <w:b/>
                      <w:sz w:val="18"/>
                      <w:szCs w:val="18"/>
                    </w:rPr>
                    <w:t>Teminat</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b/>
                      <w:sz w:val="18"/>
                      <w:szCs w:val="18"/>
                    </w:rPr>
                    <w:t>MADDE 12 –</w:t>
                  </w:r>
                  <w:r w:rsidRPr="00403AAB">
                    <w:rPr>
                      <w:rFonts w:ascii="Times New Roman" w:eastAsia="ヒラギノ明朝 Pro W3" w:hAnsi="Times New Roman" w:cs="Times New Roman"/>
                      <w:sz w:val="18"/>
                      <w:szCs w:val="18"/>
                    </w:rPr>
                    <w:t xml:space="preserve"> (1) Satıcının konut satışına başlamadan önce, konut adedi otuz ve üzerinde olan projeler için bina tamamlama sigortası yaptırması veya aşağıda belirtilen diğer teminat ve şartlardan en az birini sağlaması zorunludur:</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a) Banka teminat mektubu,</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 xml:space="preserve">b) </w:t>
                  </w:r>
                  <w:proofErr w:type="spellStart"/>
                  <w:r w:rsidRPr="00403AAB">
                    <w:rPr>
                      <w:rFonts w:ascii="Times New Roman" w:eastAsia="ヒラギノ明朝 Pro W3" w:hAnsi="Times New Roman" w:cs="Times New Roman"/>
                      <w:sz w:val="18"/>
                      <w:szCs w:val="18"/>
                    </w:rPr>
                    <w:t>Hakediş</w:t>
                  </w:r>
                  <w:proofErr w:type="spellEnd"/>
                  <w:r w:rsidRPr="00403AAB">
                    <w:rPr>
                      <w:rFonts w:ascii="Times New Roman" w:eastAsia="ヒラギノ明朝 Pro W3" w:hAnsi="Times New Roman" w:cs="Times New Roman"/>
                      <w:sz w:val="18"/>
                      <w:szCs w:val="18"/>
                    </w:rPr>
                    <w:t xml:space="preserve"> sistemi,</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c) Bağlı kredi ile teminat.</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lastRenderedPageBreak/>
                    <w:t>(2) Birinci fıkrada yer alan teminatlar dışında, tüketicinin tüm ödemelerini garanti altına alacak başka bir yöntem öngörülmesi durumunda, bu yöntem Bakanlık tarafından uygun görülürse teminat olarak kabul edilebilir.</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b/>
                      <w:sz w:val="18"/>
                      <w:szCs w:val="18"/>
                    </w:rPr>
                  </w:pPr>
                  <w:r w:rsidRPr="00403AAB">
                    <w:rPr>
                      <w:rFonts w:ascii="Times New Roman" w:eastAsia="ヒラギノ明朝 Pro W3" w:hAnsi="Times New Roman" w:cs="Times New Roman"/>
                      <w:b/>
                      <w:sz w:val="18"/>
                      <w:szCs w:val="18"/>
                    </w:rPr>
                    <w:t>Bina tamamlama sigortası</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b/>
                      <w:sz w:val="18"/>
                      <w:szCs w:val="18"/>
                    </w:rPr>
                    <w:t>MADDE 13 –</w:t>
                  </w:r>
                  <w:r w:rsidRPr="00403AAB">
                    <w:rPr>
                      <w:rFonts w:ascii="Times New Roman" w:eastAsia="ヒラギノ明朝 Pro W3" w:hAnsi="Times New Roman" w:cs="Times New Roman"/>
                      <w:sz w:val="18"/>
                      <w:szCs w:val="18"/>
                    </w:rPr>
                    <w:t xml:space="preserve"> (1) Bina tamamlama sigortasının kapsamı, koşulları ve uygulama esasları Hazine Müsteşarlığınca belirlenir.</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 xml:space="preserve">(2) Bina tamamlama sigortası kapsamında sağlanan tazminat, teminat ve benzeri güvenceler iflas veya tasfiye masasına dâhil edilemez, </w:t>
                  </w:r>
                  <w:proofErr w:type="spellStart"/>
                  <w:r w:rsidRPr="00403AAB">
                    <w:rPr>
                      <w:rFonts w:ascii="Times New Roman" w:eastAsia="ヒラギノ明朝 Pro W3" w:hAnsi="Times New Roman" w:cs="Times New Roman"/>
                      <w:sz w:val="18"/>
                      <w:szCs w:val="18"/>
                    </w:rPr>
                    <w:t>haczolunamaz</w:t>
                  </w:r>
                  <w:proofErr w:type="spellEnd"/>
                  <w:r w:rsidRPr="00403AAB">
                    <w:rPr>
                      <w:rFonts w:ascii="Times New Roman" w:eastAsia="ヒラギノ明朝 Pro W3" w:hAnsi="Times New Roman" w:cs="Times New Roman"/>
                      <w:sz w:val="18"/>
                      <w:szCs w:val="18"/>
                    </w:rPr>
                    <w:t>, üzerlerine ihtiyati tedbir ve ihtiyati haciz konulamaz.</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b/>
                      <w:sz w:val="18"/>
                      <w:szCs w:val="18"/>
                    </w:rPr>
                  </w:pPr>
                  <w:r w:rsidRPr="00403AAB">
                    <w:rPr>
                      <w:rFonts w:ascii="Times New Roman" w:eastAsia="ヒラギノ明朝 Pro W3" w:hAnsi="Times New Roman" w:cs="Times New Roman"/>
                      <w:b/>
                      <w:sz w:val="18"/>
                      <w:szCs w:val="18"/>
                    </w:rPr>
                    <w:t>Banka teminat mektubu</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b/>
                      <w:sz w:val="18"/>
                      <w:szCs w:val="18"/>
                    </w:rPr>
                    <w:t>MADDE 14 –</w:t>
                  </w:r>
                  <w:r w:rsidRPr="00403AAB">
                    <w:rPr>
                      <w:rFonts w:ascii="Times New Roman" w:eastAsia="ヒラギノ明朝 Pro W3" w:hAnsi="Times New Roman" w:cs="Times New Roman"/>
                      <w:sz w:val="18"/>
                      <w:szCs w:val="18"/>
                    </w:rPr>
                    <w:t xml:space="preserve"> (1) Banka teminat mektubu, satıcının tüketiciye karşı ön ödemeli konut satışına ilişkin 10 uncu maddede yer alan yükümlülüklerini yerine getirmemesi halinde, tüketicinin ödediği bedeli, ilk talebinde ona derhal ödemeyi kabul ve taahhüt ettiğine dair banka tarafından verilen kesin ve süresiz mektuptur.</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(2) Ön ödemeli konut satışının banka teminat mektubu verilmesi suretiyle teminat altına alınması durumunda, satıcı 10 uncu maddede yer alan yükümlülüklerini yerine getirmezse tüketiciler, kendilerine verilmiş olan banka teminat mektubunu bankadan tazmin edebilirler.</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b/>
                      <w:sz w:val="18"/>
                      <w:szCs w:val="18"/>
                    </w:rPr>
                  </w:pPr>
                  <w:proofErr w:type="spellStart"/>
                  <w:r w:rsidRPr="00403AAB">
                    <w:rPr>
                      <w:rFonts w:ascii="Times New Roman" w:eastAsia="ヒラギノ明朝 Pro W3" w:hAnsi="Times New Roman" w:cs="Times New Roman"/>
                      <w:b/>
                      <w:sz w:val="18"/>
                      <w:szCs w:val="18"/>
                    </w:rPr>
                    <w:t>Hakediş</w:t>
                  </w:r>
                  <w:proofErr w:type="spellEnd"/>
                  <w:r w:rsidRPr="00403AAB">
                    <w:rPr>
                      <w:rFonts w:ascii="Times New Roman" w:eastAsia="ヒラギノ明朝 Pro W3" w:hAnsi="Times New Roman" w:cs="Times New Roman"/>
                      <w:b/>
                      <w:sz w:val="18"/>
                      <w:szCs w:val="18"/>
                    </w:rPr>
                    <w:t xml:space="preserve"> sistemi</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b/>
                      <w:sz w:val="18"/>
                      <w:szCs w:val="18"/>
                    </w:rPr>
                    <w:t>MADDE 15 –</w:t>
                  </w:r>
                  <w:r w:rsidRPr="00403AAB">
                    <w:rPr>
                      <w:rFonts w:ascii="Times New Roman" w:eastAsia="ヒラギノ明朝 Pro W3" w:hAnsi="Times New Roman" w:cs="Times New Roman"/>
                      <w:sz w:val="18"/>
                      <w:szCs w:val="18"/>
                    </w:rPr>
                    <w:t xml:space="preserve"> (1) Tüketicinin ödemelerinin </w:t>
                  </w:r>
                  <w:proofErr w:type="spellStart"/>
                  <w:r w:rsidRPr="00403AAB">
                    <w:rPr>
                      <w:rFonts w:ascii="Times New Roman" w:eastAsia="ヒラギノ明朝 Pro W3" w:hAnsi="Times New Roman" w:cs="Times New Roman"/>
                      <w:sz w:val="18"/>
                      <w:szCs w:val="18"/>
                    </w:rPr>
                    <w:t>hakediş</w:t>
                  </w:r>
                  <w:proofErr w:type="spellEnd"/>
                  <w:r w:rsidRPr="00403AAB">
                    <w:rPr>
                      <w:rFonts w:ascii="Times New Roman" w:eastAsia="ヒラギノ明朝 Pro W3" w:hAnsi="Times New Roman" w:cs="Times New Roman"/>
                      <w:sz w:val="18"/>
                      <w:szCs w:val="18"/>
                    </w:rPr>
                    <w:t xml:space="preserve"> sistemi ile teminat altına alınması durumunda, tüketici, ödemeleri sözleşmede belirtilen bir bankada satıcı adına açılacak bir hesaba yatırmakla yükümlüdür. Bu hesapta toplanan tüketici ödemeleri konutun devir veya teslimine kadar bloke altında olup, yalnızca </w:t>
                  </w:r>
                  <w:proofErr w:type="spellStart"/>
                  <w:r w:rsidRPr="00403AAB">
                    <w:rPr>
                      <w:rFonts w:ascii="Times New Roman" w:eastAsia="ヒラギノ明朝 Pro W3" w:hAnsi="Times New Roman" w:cs="Times New Roman"/>
                      <w:sz w:val="18"/>
                      <w:szCs w:val="18"/>
                    </w:rPr>
                    <w:t>hakediş</w:t>
                  </w:r>
                  <w:proofErr w:type="spellEnd"/>
                  <w:r w:rsidRPr="00403AAB">
                    <w:rPr>
                      <w:rFonts w:ascii="Times New Roman" w:eastAsia="ヒラギノ明朝 Pro W3" w:hAnsi="Times New Roman" w:cs="Times New Roman"/>
                      <w:sz w:val="18"/>
                      <w:szCs w:val="18"/>
                    </w:rPr>
                    <w:t xml:space="preserve"> karşılığında serbest bırakılabilir.</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 xml:space="preserve">(2) Konutun tamamlanma oranına göre belirlenecek </w:t>
                  </w:r>
                  <w:proofErr w:type="spellStart"/>
                  <w:r w:rsidRPr="00403AAB">
                    <w:rPr>
                      <w:rFonts w:ascii="Times New Roman" w:eastAsia="ヒラギノ明朝 Pro W3" w:hAnsi="Times New Roman" w:cs="Times New Roman"/>
                      <w:sz w:val="18"/>
                      <w:szCs w:val="18"/>
                    </w:rPr>
                    <w:t>hakediş</w:t>
                  </w:r>
                  <w:proofErr w:type="spellEnd"/>
                  <w:r w:rsidRPr="00403AAB">
                    <w:rPr>
                      <w:rFonts w:ascii="Times New Roman" w:eastAsia="ヒラギノ明朝 Pro W3" w:hAnsi="Times New Roman" w:cs="Times New Roman"/>
                      <w:sz w:val="18"/>
                      <w:szCs w:val="18"/>
                    </w:rPr>
                    <w:t xml:space="preserve"> sisteminde, ödemelerin doğrudan bankaya yapılmış olması ve bankaların sorumluluğu altında inşaatın ilerleme seviyesi oranında şirkete aktarılması esastır. Bu şekilde yapılacak ödemelerde tüketicinin rızası aranmaz. Bu işlemlerle ilgili olarak banka, tüketiciden komisyon ve benzeri isim altında herhangi bir bedel talep edemez.</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 xml:space="preserve">(3) Satıcı, 10 uncu maddede yer alan yükümlülüklerini yerine getirmezse, hesap üzerindeki haklarını kaybeder. Bu durumda, tüketicinin yapmış olduğu ödemelerin </w:t>
                  </w:r>
                  <w:proofErr w:type="spellStart"/>
                  <w:r w:rsidRPr="00403AAB">
                    <w:rPr>
                      <w:rFonts w:ascii="Times New Roman" w:eastAsia="ヒラギノ明朝 Pro W3" w:hAnsi="Times New Roman" w:cs="Times New Roman"/>
                      <w:sz w:val="18"/>
                      <w:szCs w:val="18"/>
                    </w:rPr>
                    <w:t>hakediş</w:t>
                  </w:r>
                  <w:proofErr w:type="spellEnd"/>
                  <w:r w:rsidRPr="00403AAB">
                    <w:rPr>
                      <w:rFonts w:ascii="Times New Roman" w:eastAsia="ヒラギノ明朝 Pro W3" w:hAnsi="Times New Roman" w:cs="Times New Roman"/>
                      <w:sz w:val="18"/>
                      <w:szCs w:val="18"/>
                    </w:rPr>
                    <w:t xml:space="preserve"> usulüne göre satıcıya ödenmemiş kısmı banka tarafından tüketiciye iade edilir. Tüketicinin o ana kadar yapmış olduğu ödemelerin satıcıya ödenen kısmı üzerinde ise tüketicinin hakları saklıdır.</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sz w:val="18"/>
                      <w:szCs w:val="18"/>
                    </w:rPr>
                    <w:t xml:space="preserve">(4) Banka, </w:t>
                  </w:r>
                  <w:proofErr w:type="spellStart"/>
                  <w:r w:rsidRPr="00403AAB">
                    <w:rPr>
                      <w:rFonts w:ascii="Times New Roman" w:eastAsia="ヒラギノ明朝 Pro W3" w:hAnsi="Times New Roman" w:cs="Times New Roman"/>
                      <w:sz w:val="18"/>
                      <w:szCs w:val="18"/>
                    </w:rPr>
                    <w:t>hakedişlerin</w:t>
                  </w:r>
                  <w:proofErr w:type="spellEnd"/>
                  <w:r w:rsidRPr="00403AAB">
                    <w:rPr>
                      <w:rFonts w:ascii="Times New Roman" w:eastAsia="ヒラギノ明朝 Pro W3" w:hAnsi="Times New Roman" w:cs="Times New Roman"/>
                      <w:sz w:val="18"/>
                      <w:szCs w:val="18"/>
                    </w:rPr>
                    <w:t xml:space="preserve"> kontrolünün sağlanması amacıyla yapı denetim, müşavirlik veya danışmanlık firmalarından da hizmet alabilir.</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b/>
                      <w:sz w:val="18"/>
                      <w:szCs w:val="18"/>
                    </w:rPr>
                  </w:pPr>
                  <w:r w:rsidRPr="00403AAB">
                    <w:rPr>
                      <w:rFonts w:ascii="Times New Roman" w:eastAsia="ヒラギノ明朝 Pro W3" w:hAnsi="Times New Roman" w:cs="Times New Roman"/>
                      <w:b/>
                      <w:sz w:val="18"/>
                      <w:szCs w:val="18"/>
                    </w:rPr>
                    <w:t>Bağlı kredi ile teminat</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b/>
                      <w:sz w:val="18"/>
                      <w:szCs w:val="18"/>
                    </w:rPr>
                    <w:t>MADDE 16 –</w:t>
                  </w:r>
                  <w:r w:rsidRPr="00403AAB">
                    <w:rPr>
                      <w:rFonts w:ascii="Times New Roman" w:eastAsia="ヒラギノ明朝 Pro W3" w:hAnsi="Times New Roman" w:cs="Times New Roman"/>
                      <w:sz w:val="18"/>
                      <w:szCs w:val="18"/>
                    </w:rPr>
                    <w:t xml:space="preserve"> (1) Ön ödemeli konut satışının bağlı kredi ile yapılması halinde, kullandırılan kredi tutarında teminat sağlanmış olur. Ancak, satıcı kullanılan bağlı kredi tutarının üzerinde kalan tutarı, ayrıca teminat altına almak zorundadır.</w:t>
                  </w:r>
                </w:p>
                <w:p w:rsidR="00403AAB" w:rsidRPr="00403AAB" w:rsidRDefault="00403AAB" w:rsidP="00403AAB">
                  <w:pPr>
                    <w:spacing w:after="0" w:line="240" w:lineRule="exact"/>
                    <w:jc w:val="center"/>
                    <w:rPr>
                      <w:rFonts w:ascii="Times New Roman" w:eastAsia="ヒラギノ明朝 Pro W3" w:hAnsi="Times New Roman" w:cs="Times New Roman"/>
                      <w:b/>
                      <w:sz w:val="18"/>
                      <w:szCs w:val="18"/>
                    </w:rPr>
                  </w:pPr>
                  <w:r w:rsidRPr="00403AAB">
                    <w:rPr>
                      <w:rFonts w:ascii="Times New Roman" w:eastAsia="ヒラギノ明朝 Pro W3" w:hAnsi="Times New Roman" w:cs="Times New Roman"/>
                      <w:b/>
                      <w:sz w:val="18"/>
                      <w:szCs w:val="18"/>
                    </w:rPr>
                    <w:t>ALTINCI BÖLÜM</w:t>
                  </w:r>
                </w:p>
                <w:p w:rsidR="00403AAB" w:rsidRPr="00403AAB" w:rsidRDefault="00403AAB" w:rsidP="00403AAB">
                  <w:pPr>
                    <w:spacing w:after="0" w:line="240" w:lineRule="exact"/>
                    <w:jc w:val="center"/>
                    <w:rPr>
                      <w:rFonts w:ascii="Times New Roman" w:eastAsia="ヒラギノ明朝 Pro W3" w:hAnsi="Times New Roman" w:cs="Times New Roman"/>
                      <w:b/>
                      <w:sz w:val="18"/>
                      <w:szCs w:val="18"/>
                    </w:rPr>
                  </w:pPr>
                  <w:r w:rsidRPr="00403AAB">
                    <w:rPr>
                      <w:rFonts w:ascii="Times New Roman" w:eastAsia="ヒラギノ明朝 Pro W3" w:hAnsi="Times New Roman" w:cs="Times New Roman"/>
                      <w:b/>
                      <w:sz w:val="18"/>
                      <w:szCs w:val="18"/>
                    </w:rPr>
                    <w:t>Çeşitli ve Son Hükümler</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b/>
                      <w:sz w:val="18"/>
                      <w:szCs w:val="18"/>
                    </w:rPr>
                  </w:pPr>
                  <w:r w:rsidRPr="00403AAB">
                    <w:rPr>
                      <w:rFonts w:ascii="Times New Roman" w:eastAsia="ヒラギノ明朝 Pro W3" w:hAnsi="Times New Roman" w:cs="Times New Roman"/>
                      <w:b/>
                      <w:sz w:val="18"/>
                      <w:szCs w:val="18"/>
                    </w:rPr>
                    <w:t>Yürürlükten kaldırılan yönetmelik</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b/>
                      <w:sz w:val="18"/>
                      <w:szCs w:val="18"/>
                    </w:rPr>
                    <w:t>MADDE 17 –</w:t>
                  </w:r>
                  <w:r w:rsidRPr="00403AAB">
                    <w:rPr>
                      <w:rFonts w:ascii="Times New Roman" w:eastAsia="ヒラギノ明朝 Pro W3" w:hAnsi="Times New Roman" w:cs="Times New Roman"/>
                      <w:sz w:val="18"/>
                      <w:szCs w:val="18"/>
                    </w:rPr>
                    <w:t xml:space="preserve"> (1) </w:t>
                  </w:r>
                  <w:proofErr w:type="gramStart"/>
                  <w:r w:rsidRPr="00403AAB">
                    <w:rPr>
                      <w:rFonts w:ascii="Times New Roman" w:eastAsia="ヒラギノ明朝 Pro W3" w:hAnsi="Times New Roman" w:cs="Times New Roman"/>
                      <w:sz w:val="18"/>
                      <w:szCs w:val="18"/>
                    </w:rPr>
                    <w:t>13/6/2003</w:t>
                  </w:r>
                  <w:proofErr w:type="gramEnd"/>
                  <w:r w:rsidRPr="00403AAB">
                    <w:rPr>
                      <w:rFonts w:ascii="Times New Roman" w:eastAsia="ヒラギノ明朝 Pro W3" w:hAnsi="Times New Roman" w:cs="Times New Roman"/>
                      <w:sz w:val="18"/>
                      <w:szCs w:val="18"/>
                    </w:rPr>
                    <w:t xml:space="preserve"> tarihli ve 25137 sayılı Resmî </w:t>
                  </w:r>
                  <w:proofErr w:type="spellStart"/>
                  <w:r w:rsidRPr="00403AAB">
                    <w:rPr>
                      <w:rFonts w:ascii="Times New Roman" w:eastAsia="ヒラギノ明朝 Pro W3" w:hAnsi="Times New Roman" w:cs="Times New Roman"/>
                      <w:sz w:val="18"/>
                      <w:szCs w:val="18"/>
                    </w:rPr>
                    <w:t>Gazete’de</w:t>
                  </w:r>
                  <w:proofErr w:type="spellEnd"/>
                  <w:r w:rsidRPr="00403AAB">
                    <w:rPr>
                      <w:rFonts w:ascii="Times New Roman" w:eastAsia="ヒラギノ明朝 Pro W3" w:hAnsi="Times New Roman" w:cs="Times New Roman"/>
                      <w:sz w:val="18"/>
                      <w:szCs w:val="18"/>
                    </w:rPr>
                    <w:t xml:space="preserve"> yayımlanan Kampanyalı Satışlara İlişkin Uygulama Usul ve Esasları Hakkında Yönetmelik yürürlükten kaldırılmıştır.</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b/>
                      <w:sz w:val="18"/>
                      <w:szCs w:val="18"/>
                    </w:rPr>
                  </w:pPr>
                  <w:r w:rsidRPr="00403AAB">
                    <w:rPr>
                      <w:rFonts w:ascii="Times New Roman" w:eastAsia="ヒラギノ明朝 Pro W3" w:hAnsi="Times New Roman" w:cs="Times New Roman"/>
                      <w:b/>
                      <w:sz w:val="18"/>
                      <w:szCs w:val="18"/>
                    </w:rPr>
                    <w:t>Yürürlük</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b/>
                      <w:sz w:val="18"/>
                      <w:szCs w:val="18"/>
                    </w:rPr>
                    <w:t>MADDE 18 –</w:t>
                  </w:r>
                  <w:r w:rsidRPr="00403AAB">
                    <w:rPr>
                      <w:rFonts w:ascii="Times New Roman" w:eastAsia="ヒラギノ明朝 Pro W3" w:hAnsi="Times New Roman" w:cs="Times New Roman"/>
                      <w:sz w:val="18"/>
                      <w:szCs w:val="18"/>
                    </w:rPr>
                    <w:t xml:space="preserve"> (1) Bu Yönetmelik yayımı tarihinde yürürlüğe girer.</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b/>
                      <w:sz w:val="18"/>
                      <w:szCs w:val="18"/>
                    </w:rPr>
                  </w:pPr>
                  <w:r w:rsidRPr="00403AAB">
                    <w:rPr>
                      <w:rFonts w:ascii="Times New Roman" w:eastAsia="ヒラギノ明朝 Pro W3" w:hAnsi="Times New Roman" w:cs="Times New Roman"/>
                      <w:b/>
                      <w:sz w:val="18"/>
                      <w:szCs w:val="18"/>
                    </w:rPr>
                    <w:t>Yürütme</w:t>
                  </w:r>
                </w:p>
                <w:p w:rsidR="00403AAB" w:rsidRPr="00403AAB" w:rsidRDefault="00403AAB" w:rsidP="00403AAB">
                  <w:pPr>
                    <w:tabs>
                      <w:tab w:val="left" w:pos="566"/>
                    </w:tabs>
                    <w:spacing w:after="0" w:line="240" w:lineRule="exact"/>
                    <w:ind w:firstLine="566"/>
                    <w:jc w:val="both"/>
                    <w:rPr>
                      <w:rFonts w:ascii="Times New Roman" w:eastAsia="ヒラギノ明朝 Pro W3" w:hAnsi="Times New Roman" w:cs="Times New Roman"/>
                      <w:sz w:val="18"/>
                      <w:szCs w:val="18"/>
                    </w:rPr>
                  </w:pPr>
                  <w:r w:rsidRPr="00403AAB">
                    <w:rPr>
                      <w:rFonts w:ascii="Times New Roman" w:eastAsia="ヒラギノ明朝 Pro W3" w:hAnsi="Times New Roman" w:cs="Times New Roman"/>
                      <w:b/>
                      <w:sz w:val="18"/>
                      <w:szCs w:val="18"/>
                    </w:rPr>
                    <w:t>MADDE 19 –</w:t>
                  </w:r>
                  <w:r w:rsidRPr="00403AAB">
                    <w:rPr>
                      <w:rFonts w:ascii="Times New Roman" w:eastAsia="ヒラギノ明朝 Pro W3" w:hAnsi="Times New Roman" w:cs="Times New Roman"/>
                      <w:sz w:val="18"/>
                      <w:szCs w:val="18"/>
                    </w:rPr>
                    <w:t xml:space="preserve"> (1) Bu Yönetmelik hükümlerini Gümrük ve Ticaret Bakanı yürütür.</w:t>
                  </w:r>
                </w:p>
                <w:p w:rsidR="00403AAB" w:rsidRPr="00403AAB" w:rsidRDefault="00403AAB" w:rsidP="00403AAB">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403AAB" w:rsidRPr="00403AAB" w:rsidRDefault="00403AAB" w:rsidP="00403AAB">
            <w:pPr>
              <w:spacing w:after="0" w:line="240" w:lineRule="auto"/>
              <w:jc w:val="center"/>
              <w:rPr>
                <w:rFonts w:ascii="Times New Roman" w:eastAsia="Times New Roman" w:hAnsi="Times New Roman" w:cs="Times New Roman"/>
                <w:sz w:val="20"/>
                <w:szCs w:val="20"/>
                <w:lang w:eastAsia="tr-TR"/>
              </w:rPr>
            </w:pPr>
          </w:p>
        </w:tc>
      </w:tr>
    </w:tbl>
    <w:p w:rsidR="00403AAB" w:rsidRPr="00403AAB" w:rsidRDefault="00403AAB" w:rsidP="00403AAB">
      <w:pPr>
        <w:spacing w:after="0" w:line="240" w:lineRule="auto"/>
        <w:jc w:val="center"/>
        <w:rPr>
          <w:rFonts w:ascii="Times New Roman" w:eastAsia="Times New Roman" w:hAnsi="Times New Roman" w:cs="Times New Roman"/>
          <w:sz w:val="24"/>
          <w:szCs w:val="24"/>
          <w:lang w:eastAsia="tr-TR"/>
        </w:rPr>
      </w:pPr>
    </w:p>
    <w:p w:rsidR="002E24D6" w:rsidRDefault="002E24D6">
      <w:bookmarkStart w:id="0" w:name="_GoBack"/>
      <w:bookmarkEnd w:id="0"/>
    </w:p>
    <w:sectPr w:rsidR="002E24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AAB"/>
    <w:rsid w:val="002E24D6"/>
    <w:rsid w:val="00403A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A77EB-32FB-4591-8989-B20E993CB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403AA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403AAB"/>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403AAB"/>
    <w:pPr>
      <w:tabs>
        <w:tab w:val="left" w:pos="566"/>
      </w:tabs>
      <w:spacing w:after="0" w:line="267" w:lineRule="exact"/>
      <w:jc w:val="both"/>
    </w:pPr>
    <w:rPr>
      <w:rFonts w:ascii="Times New Roman" w:eastAsia="ヒラギノ明朝 Pro W3" w:hAnsi="Times" w:cs="Times New Roman"/>
      <w:sz w:val="19"/>
      <w:szCs w:val="20"/>
    </w:rPr>
  </w:style>
  <w:style w:type="paragraph" w:customStyle="1" w:styleId="1-Baslk">
    <w:name w:val="1-Baslık"/>
    <w:rsid w:val="00403AAB"/>
    <w:pPr>
      <w:tabs>
        <w:tab w:val="left" w:pos="566"/>
      </w:tabs>
      <w:spacing w:after="0" w:line="240" w:lineRule="auto"/>
    </w:pPr>
    <w:rPr>
      <w:rFonts w:ascii="Times New Roman" w:eastAsia="ヒラギノ明朝 Pro W3" w:hAnsi="Times" w:cs="Times New Roman"/>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798044">
      <w:bodyDiv w:val="1"/>
      <w:marLeft w:val="0"/>
      <w:marRight w:val="0"/>
      <w:marTop w:val="0"/>
      <w:marBottom w:val="0"/>
      <w:divBdr>
        <w:top w:val="none" w:sz="0" w:space="0" w:color="auto"/>
        <w:left w:val="none" w:sz="0" w:space="0" w:color="auto"/>
        <w:bottom w:val="none" w:sz="0" w:space="0" w:color="auto"/>
        <w:right w:val="none" w:sz="0" w:space="0" w:color="auto"/>
      </w:divBdr>
      <w:divsChild>
        <w:div w:id="1513103961">
          <w:marLeft w:val="0"/>
          <w:marRight w:val="0"/>
          <w:marTop w:val="0"/>
          <w:marBottom w:val="0"/>
          <w:divBdr>
            <w:top w:val="none" w:sz="0" w:space="0" w:color="auto"/>
            <w:left w:val="none" w:sz="0" w:space="0" w:color="auto"/>
            <w:bottom w:val="none" w:sz="0" w:space="0" w:color="auto"/>
            <w:right w:val="none" w:sz="0" w:space="0" w:color="auto"/>
          </w:divBdr>
          <w:divsChild>
            <w:div w:id="177316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2266</Words>
  <Characters>12922</Characters>
  <Application>Microsoft Office Word</Application>
  <DocSecurity>0</DocSecurity>
  <Lines>107</Lines>
  <Paragraphs>30</Paragraphs>
  <ScaleCrop>false</ScaleCrop>
  <Company>T.C. Gümrük ve Ticaret Bakanlığı</Company>
  <LinksUpToDate>false</LinksUpToDate>
  <CharactersWithSpaces>15158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Yakup Güzel</dc:creator>
  <cp:keywords/>
  <dc:description/>
  <cp:lastModifiedBy>Yakup Güzel</cp:lastModifiedBy>
  <cp:revision>1</cp:revision>
  <dcterms:created xsi:type="dcterms:W3CDTF">2014-11-27T07:26:00Z</dcterms:created>
  <dcterms:modified xsi:type="dcterms:W3CDTF">2014-11-27T07:27:00Z</dcterms:modified>
</cp:coreProperties>
</file>